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A26D8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  <w:r w:rsidR="001705F7">
              <w:rPr>
                <w:b/>
                <w:sz w:val="32"/>
                <w:szCs w:val="32"/>
              </w:rPr>
              <w:t xml:space="preserve">                     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0758F4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0758F4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A842E7" w:rsidRPr="009A26D8" w:rsidRDefault="00A842E7" w:rsidP="009A26D8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A26D8">
        <w:rPr>
          <w:rFonts w:eastAsia="Calibri"/>
          <w:bCs/>
          <w:szCs w:val="28"/>
        </w:rPr>
        <w:t>Об утверждении порядка проведения мониторинга закупок</w:t>
      </w:r>
    </w:p>
    <w:p w:rsidR="00A842E7" w:rsidRPr="009A26D8" w:rsidRDefault="00A842E7" w:rsidP="009A26D8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A26D8">
        <w:rPr>
          <w:rFonts w:eastAsia="Calibri"/>
          <w:bCs/>
          <w:szCs w:val="28"/>
        </w:rPr>
        <w:t>товаров, работ, услуг для обеспечения муниципальных</w:t>
      </w:r>
    </w:p>
    <w:p w:rsidR="00A842E7" w:rsidRPr="009A26D8" w:rsidRDefault="00A842E7" w:rsidP="009A26D8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A26D8">
        <w:rPr>
          <w:rFonts w:eastAsia="Calibri"/>
          <w:bCs/>
          <w:szCs w:val="28"/>
        </w:rPr>
        <w:t>нужд на территории муниципального района Пестравский Самарской области</w:t>
      </w:r>
    </w:p>
    <w:p w:rsidR="00A842E7" w:rsidRPr="009A26D8" w:rsidRDefault="00A842E7" w:rsidP="009A26D8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A842E7" w:rsidRPr="009A26D8" w:rsidRDefault="00A842E7" w:rsidP="009A26D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26D8">
        <w:rPr>
          <w:rFonts w:eastAsia="Calibri"/>
          <w:szCs w:val="28"/>
        </w:rPr>
        <w:t xml:space="preserve">В соответствии с Федеральным </w:t>
      </w:r>
      <w:hyperlink r:id="rId8" w:history="1">
        <w:r w:rsidRPr="009A26D8">
          <w:rPr>
            <w:rFonts w:eastAsia="Calibri"/>
            <w:color w:val="0000FF"/>
            <w:szCs w:val="28"/>
          </w:rPr>
          <w:t>законом</w:t>
        </w:r>
      </w:hyperlink>
      <w:r w:rsidRPr="009A26D8">
        <w:rPr>
          <w:rFonts w:eastAsia="Calibri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9" w:history="1">
        <w:r w:rsidRPr="009A26D8">
          <w:rPr>
            <w:rFonts w:eastAsia="Calibri"/>
            <w:color w:val="0000FF"/>
            <w:szCs w:val="28"/>
          </w:rPr>
          <w:t>законом</w:t>
        </w:r>
      </w:hyperlink>
      <w:r w:rsidRPr="009A26D8">
        <w:rPr>
          <w:rFonts w:eastAsia="Calibri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A842E7" w:rsidRPr="009A26D8" w:rsidRDefault="00A842E7" w:rsidP="009A26D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26D8">
        <w:rPr>
          <w:rFonts w:eastAsia="Calibri"/>
          <w:szCs w:val="28"/>
        </w:rPr>
        <w:t xml:space="preserve">1. Утвердить прилагаемый </w:t>
      </w:r>
      <w:hyperlink r:id="rId10" w:history="1">
        <w:r w:rsidRPr="009A26D8">
          <w:rPr>
            <w:rFonts w:eastAsia="Calibri"/>
            <w:color w:val="0000FF"/>
            <w:szCs w:val="28"/>
          </w:rPr>
          <w:t>Порядок</w:t>
        </w:r>
      </w:hyperlink>
      <w:r w:rsidRPr="009A26D8">
        <w:rPr>
          <w:rFonts w:eastAsia="Calibri"/>
          <w:szCs w:val="28"/>
        </w:rPr>
        <w:t xml:space="preserve"> проведения мониторинга закупок товаров, работ, услуг для обеспечения муниципальных нужд на территории </w:t>
      </w:r>
      <w:r w:rsidRPr="009A26D8">
        <w:rPr>
          <w:rFonts w:eastAsia="Calibri"/>
          <w:bCs/>
          <w:szCs w:val="28"/>
        </w:rPr>
        <w:t>муниципального района Пестравский Самарской области</w:t>
      </w:r>
      <w:r w:rsidRPr="009A26D8">
        <w:rPr>
          <w:rFonts w:eastAsia="Calibri"/>
          <w:szCs w:val="28"/>
        </w:rPr>
        <w:t>.</w:t>
      </w:r>
    </w:p>
    <w:p w:rsidR="00A842E7" w:rsidRPr="009A26D8" w:rsidRDefault="00A842E7" w:rsidP="009A26D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26D8">
        <w:rPr>
          <w:rFonts w:eastAsia="Calibri"/>
          <w:szCs w:val="28"/>
        </w:rPr>
        <w:t xml:space="preserve">2. </w:t>
      </w:r>
      <w:r w:rsidRPr="009A26D8">
        <w:rPr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</w:t>
      </w:r>
      <w:r w:rsidRPr="009A26D8">
        <w:rPr>
          <w:rFonts w:eastAsia="Calibri"/>
          <w:szCs w:val="28"/>
        </w:rPr>
        <w:t>.</w:t>
      </w:r>
    </w:p>
    <w:p w:rsidR="00A842E7" w:rsidRPr="009A26D8" w:rsidRDefault="00A842E7" w:rsidP="009A26D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26D8">
        <w:rPr>
          <w:rFonts w:eastAsia="Calibri"/>
          <w:szCs w:val="28"/>
        </w:rPr>
        <w:t xml:space="preserve">4. Настоящее постановление вступает в силу на следующий день после его официального опубликования, за исключением </w:t>
      </w:r>
      <w:hyperlink r:id="rId11" w:history="1">
        <w:r w:rsidRPr="009A26D8">
          <w:rPr>
            <w:rFonts w:eastAsia="Calibri"/>
            <w:color w:val="0000FF"/>
            <w:szCs w:val="28"/>
          </w:rPr>
          <w:t xml:space="preserve"> пункта 2.2</w:t>
        </w:r>
      </w:hyperlink>
      <w:r w:rsidRPr="009A26D8">
        <w:rPr>
          <w:rFonts w:eastAsia="Calibri"/>
          <w:szCs w:val="28"/>
        </w:rPr>
        <w:t>, абзаца шестого пункта 2.3., абзацев десятого и одиннадцатого пункта 5.3., прилагаемого Порядка, которые вступают в силу с 1 января 2017 года.</w:t>
      </w:r>
    </w:p>
    <w:p w:rsidR="00A842E7" w:rsidRDefault="00A842E7" w:rsidP="009A26D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26D8">
        <w:rPr>
          <w:rFonts w:eastAsia="Calibri"/>
          <w:szCs w:val="28"/>
        </w:rPr>
        <w:t>5. Конт</w:t>
      </w:r>
      <w:r w:rsidR="009A26D8">
        <w:rPr>
          <w:rFonts w:eastAsia="Calibri"/>
          <w:szCs w:val="28"/>
        </w:rPr>
        <w:t>роль за исполнением настоящего п</w:t>
      </w:r>
      <w:r w:rsidRPr="009A26D8">
        <w:rPr>
          <w:rFonts w:eastAsia="Calibri"/>
          <w:szCs w:val="28"/>
        </w:rPr>
        <w:t xml:space="preserve">остановления </w:t>
      </w:r>
      <w:r w:rsidR="009A26D8">
        <w:rPr>
          <w:rFonts w:eastAsia="Calibri"/>
          <w:szCs w:val="28"/>
        </w:rPr>
        <w:t>возложить на начальника экономического отдела администрации муниципального района Пестравский (</w:t>
      </w:r>
      <w:proofErr w:type="spellStart"/>
      <w:r w:rsidR="009A26D8">
        <w:rPr>
          <w:rFonts w:eastAsia="Calibri"/>
          <w:szCs w:val="28"/>
        </w:rPr>
        <w:t>Е.В.Рязанцева</w:t>
      </w:r>
      <w:proofErr w:type="spellEnd"/>
      <w:r w:rsidR="009A26D8">
        <w:rPr>
          <w:rFonts w:eastAsia="Calibri"/>
          <w:szCs w:val="28"/>
        </w:rPr>
        <w:t>)</w:t>
      </w:r>
      <w:r w:rsidRPr="009A26D8">
        <w:rPr>
          <w:rFonts w:eastAsia="Calibri"/>
          <w:szCs w:val="28"/>
        </w:rPr>
        <w:t>.</w:t>
      </w:r>
    </w:p>
    <w:p w:rsidR="009A26D8" w:rsidRDefault="009A26D8" w:rsidP="009A26D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9A26D8" w:rsidRDefault="009A26D8" w:rsidP="009A26D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муниципального района </w:t>
      </w:r>
    </w:p>
    <w:p w:rsidR="009A26D8" w:rsidRPr="009A26D8" w:rsidRDefault="009A26D8" w:rsidP="009A26D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Пестравский                                                                                     </w:t>
      </w:r>
      <w:proofErr w:type="spellStart"/>
      <w:r>
        <w:rPr>
          <w:rFonts w:eastAsia="Calibri"/>
          <w:szCs w:val="28"/>
        </w:rPr>
        <w:t>А.П.Любаев</w:t>
      </w:r>
      <w:proofErr w:type="spellEnd"/>
    </w:p>
    <w:p w:rsidR="00A842E7" w:rsidRPr="009A26D8" w:rsidRDefault="00A842E7" w:rsidP="009A26D8">
      <w:pPr>
        <w:rPr>
          <w:szCs w:val="28"/>
        </w:rPr>
      </w:pPr>
    </w:p>
    <w:p w:rsidR="00A842E7" w:rsidRPr="009A26D8" w:rsidRDefault="009A26D8" w:rsidP="009A26D8">
      <w:pPr>
        <w:rPr>
          <w:sz w:val="16"/>
          <w:szCs w:val="16"/>
        </w:rPr>
      </w:pPr>
      <w:r w:rsidRPr="009A26D8">
        <w:rPr>
          <w:sz w:val="16"/>
          <w:szCs w:val="16"/>
        </w:rPr>
        <w:t>Сапрыкин 2-24-78</w:t>
      </w:r>
    </w:p>
    <w:p w:rsidR="00A842E7" w:rsidRPr="009A26D8" w:rsidRDefault="009A26D8" w:rsidP="009A26D8">
      <w:pPr>
        <w:rPr>
          <w:szCs w:val="28"/>
        </w:rPr>
      </w:pPr>
      <w:proofErr w:type="spellStart"/>
      <w:r w:rsidRPr="009A26D8">
        <w:rPr>
          <w:sz w:val="16"/>
          <w:szCs w:val="16"/>
        </w:rPr>
        <w:t>Мамлютова</w:t>
      </w:r>
      <w:proofErr w:type="spellEnd"/>
      <w:r w:rsidRPr="009A26D8">
        <w:rPr>
          <w:sz w:val="16"/>
          <w:szCs w:val="16"/>
        </w:rPr>
        <w:t xml:space="preserve"> 2-25-88</w:t>
      </w:r>
    </w:p>
    <w:p w:rsidR="000758F4" w:rsidRDefault="000758F4" w:rsidP="009A26D8">
      <w:pPr>
        <w:pStyle w:val="ConsPlusTitlePage"/>
        <w:jc w:val="right"/>
        <w:rPr>
          <w:rFonts w:ascii="Times New Roman" w:hAnsi="Times New Roman" w:cs="Times New Roman"/>
        </w:rPr>
      </w:pPr>
    </w:p>
    <w:p w:rsidR="009A26D8" w:rsidRPr="000758F4" w:rsidRDefault="009A26D8" w:rsidP="009A26D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26D8" w:rsidRPr="000758F4" w:rsidRDefault="009A26D8" w:rsidP="009A26D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26D8" w:rsidRPr="000758F4" w:rsidRDefault="009A26D8" w:rsidP="009A26D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</w:p>
    <w:p w:rsidR="00A842E7" w:rsidRPr="000758F4" w:rsidRDefault="009A26D8" w:rsidP="009A26D8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от_________№____</w:t>
      </w:r>
      <w:r w:rsidR="00A842E7" w:rsidRPr="000758F4">
        <w:rPr>
          <w:rFonts w:ascii="Times New Roman" w:hAnsi="Times New Roman" w:cs="Times New Roman"/>
          <w:sz w:val="28"/>
          <w:szCs w:val="28"/>
        </w:rPr>
        <w:tab/>
      </w:r>
      <w:r w:rsidR="00A842E7" w:rsidRPr="000758F4">
        <w:rPr>
          <w:rFonts w:ascii="Times New Roman" w:hAnsi="Times New Roman" w:cs="Times New Roman"/>
          <w:sz w:val="28"/>
          <w:szCs w:val="28"/>
        </w:rPr>
        <w:br/>
      </w:r>
    </w:p>
    <w:p w:rsidR="00A842E7" w:rsidRPr="000758F4" w:rsidRDefault="00A842E7" w:rsidP="009A26D8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6D8" w:rsidRPr="000758F4" w:rsidRDefault="0003042A" w:rsidP="009A26D8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A842E7" w:rsidRPr="000758F4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="00A842E7" w:rsidRPr="000758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2E7" w:rsidRPr="000758F4" w:rsidRDefault="00A842E7" w:rsidP="009A2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eastAsia="Calibri" w:hAnsi="Times New Roman" w:cs="Times New Roman"/>
          <w:sz w:val="28"/>
          <w:szCs w:val="28"/>
        </w:rPr>
        <w:t xml:space="preserve">ПРОВЕДЕНИЯ МОНИТОРИНГА ЗАКУПОК ТОВАРОВ, РАБОТ, УСЛУГ ДЛЯ ОБЕСПЕЧЕНИЯ МУНИЦИПАЛЬНЫХ НУЖД НА ТЕРРИТОРИИ </w:t>
      </w:r>
      <w:r w:rsidRPr="000758F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ПЕСТРАВСКИЙ САМАРСКОЙ ОБЛАСТИ</w:t>
      </w:r>
    </w:p>
    <w:p w:rsidR="00A842E7" w:rsidRPr="000758F4" w:rsidRDefault="00A842E7" w:rsidP="009A2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42E7" w:rsidRPr="000758F4" w:rsidRDefault="00A842E7" w:rsidP="009A2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1.1. Настоящим Порядком определяются цели и правила проведения мониторинга закупок товаров, работ, услуг для обеспечения муниципальных нужд муниципального района Пестравский Самарской области (далее – мониторинг), порядок оформления результатов мониторинга.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1.2. Обеспечение мониторинга осуществляется экономическим отделом администрации муниципального района Пестравский (далее – Отдел) посредством осуществляемых на постоянной основе сбора, обобщения, систематизации и оценки информации: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1) размещенной в Единой информационной системе (далее – </w:t>
      </w:r>
      <w:proofErr w:type="spellStart"/>
      <w:r w:rsidRPr="000758F4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Pr="000758F4">
        <w:rPr>
          <w:rFonts w:ascii="Times New Roman" w:hAnsi="Times New Roman" w:cs="Times New Roman"/>
          <w:sz w:val="28"/>
          <w:szCs w:val="28"/>
        </w:rPr>
        <w:t>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2) размещенной на электронных площадках;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3) содержащейся во вступивших в законную силу судебных решениях и в иных судебных актах, касающихся вопросов осуществления закупок.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1.3. Мониторинг осуществляется в целях: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оценки степени достижения целей осуществления закупок, определенных в соответствии со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оценки обоснованности закупок в соответствии со статьей 18 Федерального закона № 44-ФЗ;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1.4. Мониторинг осуществляется на следующих этапах закупок: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проведение процедур определения поставщика (подрядчика, исполнителя);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исполнение контракта.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1.5. Мониторингом не охватываются закупки, по которым определение поставщика (подрядчика, исполнителя) осуществляется закрытыми способами.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2. Порядок проведения мониторинга</w:t>
      </w:r>
    </w:p>
    <w:p w:rsidR="00A842E7" w:rsidRPr="000758F4" w:rsidRDefault="00A842E7" w:rsidP="009A26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на этапе планирования закупок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2.1. Мониторинг на этапе планирования закупок осуществляется посредством оценки сформированных и утвержденных в установленном порядке планов закупок и планов-графиков закупок для обеспечения нужд муниципального района Пестравский Самарской области (далее – план закупок, план-график закупок).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 w:rsidRPr="000758F4">
        <w:rPr>
          <w:rFonts w:ascii="Times New Roman" w:hAnsi="Times New Roman" w:cs="Times New Roman"/>
          <w:sz w:val="28"/>
          <w:szCs w:val="28"/>
        </w:rPr>
        <w:t>2.2. При проведении мониторинга планов закупок осуществляется оценка выборочной информации: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соблюдения порядка обоснования закупки, установленного Правительством Российской Федерации,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соответствия установленным согласно статье 19 Федерального закона   № 44-ФЗ требованиям к закупаемым заказчиком товарам, работам, услугам и (или) нормативным затратам на обеспечение функций государственных органов и подведомственных казенных учреждений.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2.3. При проведении мониторинга планов-графиков закупок осуществляется оценка выборочной информации: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соблюдения сроков опубликования планов-графиков закупок в </w:t>
      </w:r>
      <w:proofErr w:type="spellStart"/>
      <w:r w:rsidRPr="000758F4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Pr="000758F4">
        <w:rPr>
          <w:rFonts w:ascii="Times New Roman" w:hAnsi="Times New Roman" w:cs="Times New Roman"/>
          <w:sz w:val="28"/>
          <w:szCs w:val="28"/>
        </w:rPr>
        <w:t>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соблюдения сроков проведения закупок, предусмотренных планами-графиками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соответствия объема проводимых закупок объемам закупок, предусмотренных планами-графиками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соблюдения требований к соотношению объема закупок у субъектов малого предпринимательства, социально ориентированных некоммерческих организаций и совокупного годового объема закупок, предусмотренного планами-графиками закупок (в денежном выражении);</w:t>
      </w:r>
      <w:bookmarkStart w:id="1" w:name="P78"/>
      <w:bookmarkEnd w:id="1"/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правильности применения метода обоснования начальной (максимальной) цены контракта, цены контракта, заключаемого с единственным поставщиком (подрядчиком, исполнителем) в соответствии со статьей 22 Федерального закона № 44-ФЗ;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соотношения объема конкурентных закупок и закупок у единственного поставщика (подрядчика, исполнителя) (в том числе по пунктам 4 и 5 части 1 статьи 93 Федерального закона № 44-ФЗ) и общего объема закупок, предусмотренного планом-графиком закупок (в денежном выражении);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обоснования способа определения поставщика (подрядчика, исполнителя) в соответствии с главой 3 Федерального закона № 44-ФЗ, в том числе дополнительных требований к участникам закупки;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соблюдения требований к годовому объему закупок, проводимых путем запроса котировок.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lastRenderedPageBreak/>
        <w:t>3. Порядок проведения мониторинга по итогам проведения</w:t>
      </w:r>
    </w:p>
    <w:p w:rsidR="00A842E7" w:rsidRPr="000758F4" w:rsidRDefault="00A842E7" w:rsidP="009A26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процедур определения поставщика (подрядчика, исполнителя)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3.1. При проведении мониторинга по итогам проведения процедур определения поставщика (подрядчика, исполнителя) производится: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определение количества состоявшихся и несостоявшихся конкурентных процедур, в том числе в разрезе причин признания процедур несостоявшимися;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определение размера экономии, сложившейся по результатам конкурентных процедур, и уровня конкуренции;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определение размера доли участия региональных, муниципальных поставщиков (подрядчиков, исполнителей) в проведенных закупках;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определение соблюдения требований к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определение соотношения объема (размера доли) конкурентных закупок и закупок у единственного поставщика (подрядчика, исполнителя) (в том числе по пунктам 4 и 5 части 1 статьи 93 Федерального закона № 44-ФЗ) в общем объеме закупок (по количеству и сумме).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3.2. Определение количества состоявшихся и несостоявшихся конкурентных процедур производится в разрезе: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закупок, осуществленных экономическим отделом администрации муниципального района Пестравский Самарской области для заказчиков муниципального района Пестравский Самарской области;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групп закупок, объединенных одним или несколькими общими признаками, в том числе ценовыми (далее – группа сопоставимых закупок);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закупок, осуществленных главным распорядителем бюджетных средств и подведомственными ему заказчиками.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3.3. Определение размера экономии, сложившейся по результатам конкурентных процедур, и уровня конкуренции производится в отношении: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закупок, осуществленных </w:t>
      </w:r>
      <w:r w:rsidR="00415340" w:rsidRPr="000758F4">
        <w:rPr>
          <w:rFonts w:ascii="Times New Roman" w:hAnsi="Times New Roman" w:cs="Times New Roman"/>
          <w:sz w:val="28"/>
          <w:szCs w:val="28"/>
        </w:rPr>
        <w:t>экономическим отделом администрации муниципального района Пестравский Самарской области</w:t>
      </w:r>
      <w:r w:rsidRPr="000758F4">
        <w:rPr>
          <w:rFonts w:ascii="Times New Roman" w:hAnsi="Times New Roman" w:cs="Times New Roman"/>
          <w:sz w:val="28"/>
          <w:szCs w:val="28"/>
        </w:rPr>
        <w:t xml:space="preserve"> для заказчиков муниципального района Пестравский Самарской области, за отчетный период;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способов определения поставщика (подрядчика, исполнителя);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закупок, осуществленных </w:t>
      </w:r>
      <w:r w:rsidR="00415340" w:rsidRPr="000758F4">
        <w:rPr>
          <w:rFonts w:ascii="Times New Roman" w:hAnsi="Times New Roman" w:cs="Times New Roman"/>
          <w:sz w:val="28"/>
          <w:szCs w:val="28"/>
        </w:rPr>
        <w:t xml:space="preserve">экономическим отделом администрации муниципального района Пестравский Самарской области </w:t>
      </w:r>
      <w:r w:rsidRPr="000758F4">
        <w:rPr>
          <w:rFonts w:ascii="Times New Roman" w:hAnsi="Times New Roman" w:cs="Times New Roman"/>
          <w:sz w:val="28"/>
          <w:szCs w:val="28"/>
        </w:rPr>
        <w:t>для одного из заказчиков;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закупок, осуществленных главным распорядителем бюджетных средств и подведомственными ему заказчиками;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групп сопоставимых закупок.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3.4. Определение размера доли участия региональных, </w:t>
      </w:r>
      <w:r w:rsidRPr="000758F4">
        <w:rPr>
          <w:rFonts w:ascii="Times New Roman" w:hAnsi="Times New Roman" w:cs="Times New Roman"/>
          <w:sz w:val="28"/>
          <w:szCs w:val="28"/>
        </w:rPr>
        <w:lastRenderedPageBreak/>
        <w:t>муниципальных поставщиков (подрядчиков, исполнителей) в проведенных закупках производится в отношении: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закупок, осуществленных </w:t>
      </w:r>
      <w:r w:rsidR="00415340" w:rsidRPr="000758F4">
        <w:rPr>
          <w:rFonts w:ascii="Times New Roman" w:hAnsi="Times New Roman" w:cs="Times New Roman"/>
          <w:sz w:val="28"/>
          <w:szCs w:val="28"/>
        </w:rPr>
        <w:t xml:space="preserve">экономическим отделом администрации муниципального района Пестравский Самарской области </w:t>
      </w:r>
      <w:r w:rsidRPr="000758F4">
        <w:rPr>
          <w:rFonts w:ascii="Times New Roman" w:hAnsi="Times New Roman" w:cs="Times New Roman"/>
          <w:sz w:val="28"/>
          <w:szCs w:val="28"/>
        </w:rPr>
        <w:t>для заказчиков муниципального района Пестравский Самарской области, за отчетный период;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групп сопоставимых закупок.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3.5. Определение соблюдения требований к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закупок, удельного веса соответствующих конкурентных закупок и закупок у единственного поставщика (подрядчика, исполнителя) в общем объеме закупок производится в отношении: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закупок, осуществленных</w:t>
      </w:r>
      <w:r w:rsidR="00415340" w:rsidRPr="000758F4">
        <w:rPr>
          <w:rFonts w:ascii="Times New Roman" w:hAnsi="Times New Roman" w:cs="Times New Roman"/>
          <w:sz w:val="28"/>
          <w:szCs w:val="28"/>
        </w:rPr>
        <w:t xml:space="preserve"> экономическим отделом администрации муниципального района Пестравский Самарской области</w:t>
      </w:r>
      <w:r w:rsidRPr="000758F4">
        <w:rPr>
          <w:rFonts w:ascii="Times New Roman" w:hAnsi="Times New Roman" w:cs="Times New Roman"/>
          <w:sz w:val="28"/>
          <w:szCs w:val="28"/>
        </w:rPr>
        <w:t xml:space="preserve"> для заказчиков муниципального района Пестравский Самарской области, за отчетный период;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закупок, осуществленных главным распорядителем бюджетных средств и подведомственными ему заказчиками;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закупок, осуществленных </w:t>
      </w:r>
      <w:r w:rsidR="00415340" w:rsidRPr="000758F4">
        <w:rPr>
          <w:rFonts w:ascii="Times New Roman" w:hAnsi="Times New Roman" w:cs="Times New Roman"/>
          <w:sz w:val="28"/>
          <w:szCs w:val="28"/>
        </w:rPr>
        <w:t xml:space="preserve">экономическим отделом администрации муниципального района Пестравский Самарской области </w:t>
      </w:r>
      <w:r w:rsidRPr="000758F4">
        <w:rPr>
          <w:rFonts w:ascii="Times New Roman" w:hAnsi="Times New Roman" w:cs="Times New Roman"/>
          <w:sz w:val="28"/>
          <w:szCs w:val="28"/>
        </w:rPr>
        <w:t>для одного из заказчиков.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4. Порядок проведения мониторинга на этапе</w:t>
      </w:r>
    </w:p>
    <w:p w:rsidR="00A842E7" w:rsidRPr="000758F4" w:rsidRDefault="00A842E7" w:rsidP="009A26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исполнения контракта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При проведении мониторинга на этапе исполнения контракта осуществляется оценка выборочной информации: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об исполнении контракта (отдельного этапа исполнения контракта);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 соблюдении промежуточных и окончательных сроков исполнения контракта;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 соблюдении требований по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 внесении изменений в контракт в ходе его исполнения;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 расторжении контра</w:t>
      </w:r>
      <w:bookmarkStart w:id="2" w:name="_GoBack"/>
      <w:bookmarkEnd w:id="2"/>
      <w:r w:rsidRPr="000758F4">
        <w:rPr>
          <w:rFonts w:ascii="Times New Roman" w:hAnsi="Times New Roman" w:cs="Times New Roman"/>
          <w:sz w:val="28"/>
          <w:szCs w:val="28"/>
        </w:rPr>
        <w:t>кта, в том числе с указанием оснований расторжения.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5. Оформление и использование результатов мониторинга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5.1. Результаты мониторинга оформляются экономическим отделом администрации муниципального района Пестравский Самарской области путем подготовки ежеквартальных аналитических отчетов, а также сводных аналитических отчетов – по итогам каждого полугодия и года.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lastRenderedPageBreak/>
        <w:t>5.2. Аналитический отчет содержит следующие данные: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объем опубликованных извещений на закупку;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объем проведенных процедур, по которым подведены итоги и опубликован итоговый протокол, а также их количество в разрезе способов определения поставщика (подрядчика, исполнителя);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объем состоявшихся и несостоявшихся конкурентных процедур;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объем централизованных закупок (совместных торгов);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размер экономии, сложившейся по результатам конкурентных процедур, и уровень конкуренции;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размер доли участия региональных, муниципальных</w:t>
      </w:r>
      <w:r w:rsidRPr="00075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8F4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в проведенных закупках;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(при необходимости).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5.3. Сводный аналитический отчет содержит следующие данные: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оценка соблюдения сроков опубликования планов-графиков закупок на официальном сайте;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оценка соблюдения сроков проведения закупок, предусмотренных планом-графиком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оценка соответствия объема проводимых закупок запланированному объему закупок, предусмотренному планами-графиками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оценка соотношения объема конкурентных закупок, запланированных к размещению, закупок у единственного поставщика (подрядчика, исполнителя) (в том числе по пунктам 4 и 5 части 1 статьи 93 Федерального закона № 44-ФЗ) и общего объема закупок, предусмотренного планами-графиками закупок (в количественном и денежном выражении);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оценка соблюдения требований по соотношению объема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закупок, предусмотренного планами-графиками закупок (в денежном выражении);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объем состоявшихся и несостоявшихся конкурентных процедур;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размер экономии, сложившейся по результатам конкурентных процедур, и уровень конкуренции;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размер доли участия региональных, муниципальных поставщиков (подрядчиков, исполнителей) в проведенных закупках;</w:t>
      </w:r>
      <w:bookmarkStart w:id="3" w:name="P150"/>
      <w:bookmarkEnd w:id="3"/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соблюдение порядка обоснования закупки, установленного Правительством Российской Федерации,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  <w:bookmarkStart w:id="4" w:name="P154"/>
      <w:bookmarkEnd w:id="4"/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оценка соответствия планов-графиков закупок и планов закупок установленным в соответствии со статьей 19 Федерального закона № 44-ФЗ требованиям к закупаемым заказчиком товару, работе, услуге и (или) нормативным затратам на обеспечение функций соответствующих органов;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на этапе исполнения контракта;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(при необходимости).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5.4. Аналитический отчет представляется </w:t>
      </w:r>
      <w:r w:rsidR="00415340" w:rsidRPr="000758F4">
        <w:rPr>
          <w:rFonts w:ascii="Times New Roman" w:hAnsi="Times New Roman" w:cs="Times New Roman"/>
          <w:sz w:val="28"/>
          <w:szCs w:val="28"/>
        </w:rPr>
        <w:t xml:space="preserve">уполномоченным на его подготовку специалистом </w:t>
      </w:r>
      <w:r w:rsidRPr="000758F4">
        <w:rPr>
          <w:rFonts w:ascii="Times New Roman" w:hAnsi="Times New Roman" w:cs="Times New Roman"/>
          <w:sz w:val="28"/>
          <w:szCs w:val="28"/>
        </w:rPr>
        <w:t>экономическ</w:t>
      </w:r>
      <w:r w:rsidR="00415340" w:rsidRPr="000758F4">
        <w:rPr>
          <w:rFonts w:ascii="Times New Roman" w:hAnsi="Times New Roman" w:cs="Times New Roman"/>
          <w:sz w:val="28"/>
          <w:szCs w:val="28"/>
        </w:rPr>
        <w:t>ого</w:t>
      </w:r>
      <w:r w:rsidRPr="000758F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15340" w:rsidRPr="000758F4">
        <w:rPr>
          <w:rFonts w:ascii="Times New Roman" w:hAnsi="Times New Roman" w:cs="Times New Roman"/>
          <w:sz w:val="28"/>
          <w:szCs w:val="28"/>
        </w:rPr>
        <w:t>а</w:t>
      </w:r>
      <w:r w:rsidRPr="000758F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для утверждения </w:t>
      </w:r>
      <w:r w:rsidR="009A26D8" w:rsidRPr="000758F4">
        <w:rPr>
          <w:rFonts w:ascii="Times New Roman" w:hAnsi="Times New Roman" w:cs="Times New Roman"/>
          <w:sz w:val="28"/>
          <w:szCs w:val="28"/>
        </w:rPr>
        <w:t xml:space="preserve">начальником экономического отдела администрации муниципального района Пестравский Самарской области </w:t>
      </w:r>
      <w:r w:rsidRPr="000758F4">
        <w:rPr>
          <w:rFonts w:ascii="Times New Roman" w:hAnsi="Times New Roman" w:cs="Times New Roman"/>
          <w:sz w:val="28"/>
          <w:szCs w:val="28"/>
        </w:rPr>
        <w:t>ежеквартально нарастающим итогом до 30-го числа месяца, следующего за отчетным кварталом, а сводные аналитические отчеты: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за первое полугодие текущего года – до 1 сентября текущего года;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за прошедший год – до 1 марта года, следующего за отчетным годом.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 xml:space="preserve">5.5. </w:t>
      </w:r>
      <w:r w:rsidR="009A26D8" w:rsidRPr="000758F4">
        <w:rPr>
          <w:rFonts w:ascii="Times New Roman" w:hAnsi="Times New Roman" w:cs="Times New Roman"/>
          <w:sz w:val="28"/>
          <w:szCs w:val="28"/>
        </w:rPr>
        <w:t>начальник э</w:t>
      </w:r>
      <w:r w:rsidRPr="000758F4">
        <w:rPr>
          <w:rFonts w:ascii="Times New Roman" w:hAnsi="Times New Roman" w:cs="Times New Roman"/>
          <w:sz w:val="28"/>
          <w:szCs w:val="28"/>
        </w:rPr>
        <w:t>кономическ</w:t>
      </w:r>
      <w:r w:rsidR="009A26D8" w:rsidRPr="000758F4">
        <w:rPr>
          <w:rFonts w:ascii="Times New Roman" w:hAnsi="Times New Roman" w:cs="Times New Roman"/>
          <w:sz w:val="28"/>
          <w:szCs w:val="28"/>
        </w:rPr>
        <w:t>ого</w:t>
      </w:r>
      <w:r w:rsidRPr="000758F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26D8" w:rsidRPr="000758F4">
        <w:rPr>
          <w:rFonts w:ascii="Times New Roman" w:hAnsi="Times New Roman" w:cs="Times New Roman"/>
          <w:sz w:val="28"/>
          <w:szCs w:val="28"/>
        </w:rPr>
        <w:t>а</w:t>
      </w:r>
      <w:r w:rsidRPr="000758F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по результатам проведенного мониторинга: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направляет заказчику или главному распорядителю бюджетных средств, в ведении которого находится заказчик, соответствующую информацию для принятия мер в пределах компетенции;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информирует соответствующие органы местного самоуправления муниципального района Пестравский Самарской области, осуществляющие контроль в сфере закупок, а также заказчиков о промежуточных результатах мониторинга закупок данных заказчиков, в том числе о выявлении наличия признаков необоснованности закупки в соответствии со статьей 18 Федерального закона № 44-ФЗ;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направляет материалы в соответствующие органы местного самоуправления муниципального района Пестравский Самарской области, осуществляющие контроль в сфере закупок, с предложением провести проверку (включить в план проведения проверок) в отношении заказчика, осуществляющего закупочную деятельность с нарушением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рекомендует объединить рассмотренные заявки в сводную заявку на закупку для проведения совместного конкурса или аукциона при выявлении потребности в закупках одних и тех же товаров, работ, услуг двумя и более заказчиками;</w:t>
      </w:r>
    </w:p>
    <w:p w:rsidR="00A842E7" w:rsidRPr="000758F4" w:rsidRDefault="00A842E7" w:rsidP="009A2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F4">
        <w:rPr>
          <w:rFonts w:ascii="Times New Roman" w:hAnsi="Times New Roman" w:cs="Times New Roman"/>
          <w:sz w:val="28"/>
          <w:szCs w:val="28"/>
        </w:rPr>
        <w:t>в случае выявления необходимости совершенствования законодательства Российской Федерации и иных нормативных правовых актов о контрактной системе в сфере закупок принимает соответствующие меры в пределах своей компетенции.</w:t>
      </w:r>
    </w:p>
    <w:p w:rsidR="009066F5" w:rsidRPr="000758F4" w:rsidRDefault="009066F5" w:rsidP="009A26D8">
      <w:pPr>
        <w:tabs>
          <w:tab w:val="left" w:pos="1075"/>
        </w:tabs>
        <w:rPr>
          <w:szCs w:val="28"/>
        </w:rPr>
      </w:pPr>
    </w:p>
    <w:sectPr w:rsidR="009066F5" w:rsidRPr="000758F4" w:rsidSect="000758F4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2A" w:rsidRDefault="0003042A" w:rsidP="00A842E7">
      <w:r>
        <w:separator/>
      </w:r>
    </w:p>
  </w:endnote>
  <w:endnote w:type="continuationSeparator" w:id="0">
    <w:p w:rsidR="0003042A" w:rsidRDefault="0003042A" w:rsidP="00A8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2A" w:rsidRDefault="0003042A" w:rsidP="00A842E7">
      <w:r>
        <w:separator/>
      </w:r>
    </w:p>
  </w:footnote>
  <w:footnote w:type="continuationSeparator" w:id="0">
    <w:p w:rsidR="0003042A" w:rsidRDefault="0003042A" w:rsidP="00A84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7"/>
    <w:rsid w:val="0003042A"/>
    <w:rsid w:val="000758F4"/>
    <w:rsid w:val="001705F7"/>
    <w:rsid w:val="002F4F41"/>
    <w:rsid w:val="00415340"/>
    <w:rsid w:val="00496FD9"/>
    <w:rsid w:val="005370FC"/>
    <w:rsid w:val="00555370"/>
    <w:rsid w:val="00605103"/>
    <w:rsid w:val="0061569A"/>
    <w:rsid w:val="006213E2"/>
    <w:rsid w:val="008C6CC5"/>
    <w:rsid w:val="009066F5"/>
    <w:rsid w:val="009A26D8"/>
    <w:rsid w:val="00A842E7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42E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A842E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A842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842E7"/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842E7"/>
    <w:rPr>
      <w:rFonts w:ascii="Calibri" w:hAnsi="Calibri"/>
      <w:lang w:eastAsia="en-US"/>
    </w:rPr>
  </w:style>
  <w:style w:type="character" w:styleId="a5">
    <w:name w:val="footnote reference"/>
    <w:uiPriority w:val="99"/>
    <w:semiHidden/>
    <w:unhideWhenUsed/>
    <w:rsid w:val="00A842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7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5F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17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5F7"/>
    <w:rPr>
      <w:rFonts w:eastAsia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70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5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42E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A842E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A842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A842E7"/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842E7"/>
    <w:rPr>
      <w:rFonts w:ascii="Calibri" w:hAnsi="Calibri"/>
      <w:lang w:eastAsia="en-US"/>
    </w:rPr>
  </w:style>
  <w:style w:type="character" w:styleId="a5">
    <w:name w:val="footnote reference"/>
    <w:uiPriority w:val="99"/>
    <w:semiHidden/>
    <w:unhideWhenUsed/>
    <w:rsid w:val="00A842E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7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5F7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17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5F7"/>
    <w:rPr>
      <w:rFonts w:eastAsia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70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A700A092EA6FA7846C50852CD09C604C842FF6CB5077DD0ADD0F3DC7CC58A5C3355AE36D0DF79Fq3p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A700A092EA6FA7846C4E883ABCC068488F71F9CD557A8B5582546090C552F2847A03A12901FF973664F2q8p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A700A092EA6FA7846C4E883ABCC068488F71F9CD557A8B5582546090C552F2847A03A12901FF973664F0q8p0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A700A092EA6FA7846C4E883ABCC068488F71F9CD557A8B5582546090C552F2847A03A12901FF973664F2q8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700A092EA6FA7846C50852CD09C604C842FFCC85277DD0ADD0F3DC7CC58A5C3355AE164q0p4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37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cp:lastPrinted>2016-11-11T07:22:00Z</cp:lastPrinted>
  <dcterms:created xsi:type="dcterms:W3CDTF">2016-11-11T06:41:00Z</dcterms:created>
  <dcterms:modified xsi:type="dcterms:W3CDTF">2016-11-11T07:22:00Z</dcterms:modified>
</cp:coreProperties>
</file>